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55B2" w14:textId="61E41920" w:rsidR="001267B8" w:rsidRPr="001267B8" w:rsidRDefault="001267B8" w:rsidP="00126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Template (Card</w:t>
      </w:r>
      <w:r w:rsidR="005D0D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</w:t>
      </w:r>
      <w:r w:rsidRPr="001267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Q.org Quick Guide)</w:t>
      </w:r>
    </w:p>
    <w:p w14:paraId="10C15141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Use this template when appealing EV-ICD denials.</w:t>
      </w:r>
    </w:p>
    <w:p w14:paraId="6356D7F1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practices:</w:t>
      </w:r>
    </w:p>
    <w:p w14:paraId="15A734A3" w14:textId="77777777" w:rsidR="001267B8" w:rsidRPr="001267B8" w:rsidRDefault="001267B8" w:rsidP="00126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Start by proving </w:t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ICD eligibility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— do NOT begin with EV-ICD justification.</w:t>
      </w:r>
    </w:p>
    <w:p w14:paraId="4A9AFCE6" w14:textId="77777777" w:rsidR="001267B8" w:rsidRPr="001267B8" w:rsidRDefault="001267B8" w:rsidP="00126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Replace all bracketed sections with </w:t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patient-specific clinical facts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E4D96C" w14:textId="77777777" w:rsidR="001267B8" w:rsidRPr="001267B8" w:rsidRDefault="001267B8" w:rsidP="00126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Keep the </w:t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five section headings unchanged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to maintain standardized payer language.</w:t>
      </w:r>
    </w:p>
    <w:p w14:paraId="0475E439" w14:textId="77777777" w:rsidR="001267B8" w:rsidRPr="001267B8" w:rsidRDefault="001267B8" w:rsidP="00126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Frame EV-ICD as a </w:t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risk-reduction strategy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, not </w:t>
      </w:r>
      <w:proofErr w:type="gramStart"/>
      <w:r w:rsidRPr="001267B8">
        <w:rPr>
          <w:rFonts w:ascii="Times New Roman" w:eastAsia="Times New Roman" w:hAnsi="Times New Roman" w:cs="Times New Roman"/>
          <w:kern w:val="0"/>
          <w14:ligatures w14:val="none"/>
        </w:rPr>
        <w:t>a novel</w:t>
      </w:r>
      <w:proofErr w:type="gramEnd"/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therapy.</w:t>
      </w:r>
    </w:p>
    <w:p w14:paraId="39C105F8" w14:textId="77777777" w:rsidR="001267B8" w:rsidRPr="001267B8" w:rsidRDefault="001267B8" w:rsidP="00126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Use objective language and avoid emotional appeals.</w:t>
      </w:r>
    </w:p>
    <w:p w14:paraId="3D0EDBD4" w14:textId="77777777" w:rsidR="001267B8" w:rsidRPr="001267B8" w:rsidRDefault="00000000" w:rsidP="001267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D4E72A8">
          <v:rect id="_x0000_i1025" style="width:0;height:1.5pt" o:hralign="center" o:hrstd="t" o:hr="t" fillcolor="#a0a0a0" stroked="f"/>
        </w:pict>
      </w:r>
    </w:p>
    <w:p w14:paraId="7E141A98" w14:textId="77777777" w:rsidR="001267B8" w:rsidRPr="001267B8" w:rsidRDefault="001267B8" w:rsidP="00126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7B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1267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Quick Checklist Before Submitting</w:t>
      </w:r>
    </w:p>
    <w:p w14:paraId="644D3D77" w14:textId="77777777" w:rsidR="001267B8" w:rsidRPr="001267B8" w:rsidRDefault="001267B8" w:rsidP="00126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ICD indication clearly documented</w:t>
      </w:r>
    </w:p>
    <w:p w14:paraId="023BEF00" w14:textId="77777777" w:rsidR="001267B8" w:rsidRPr="001267B8" w:rsidRDefault="001267B8" w:rsidP="00126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Clinical mismatch with standard ICD options explained</w:t>
      </w:r>
    </w:p>
    <w:p w14:paraId="504C94A3" w14:textId="77777777" w:rsidR="001267B8" w:rsidRPr="001267B8" w:rsidRDefault="001267B8" w:rsidP="00126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EV-ICD framed as risk reduction</w:t>
      </w:r>
    </w:p>
    <w:p w14:paraId="24EF0F8E" w14:textId="77777777" w:rsidR="001267B8" w:rsidRPr="001267B8" w:rsidRDefault="001267B8" w:rsidP="00126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“Experimental / investigational” rebuttal included</w:t>
      </w:r>
    </w:p>
    <w:p w14:paraId="02347901" w14:textId="77777777" w:rsidR="001267B8" w:rsidRPr="001267B8" w:rsidRDefault="001267B8" w:rsidP="00126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Strong medical necessity statement present</w:t>
      </w:r>
    </w:p>
    <w:p w14:paraId="3212DA9B" w14:textId="77777777" w:rsidR="001267B8" w:rsidRPr="001267B8" w:rsidRDefault="001267B8" w:rsidP="00126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Supporting records attached (ECG, MRI, notes, etc.)</w:t>
      </w:r>
    </w:p>
    <w:p w14:paraId="18592B7A" w14:textId="77777777" w:rsidR="001267B8" w:rsidRPr="001267B8" w:rsidRDefault="00000000" w:rsidP="001267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91663B">
          <v:rect id="_x0000_i1026" style="width:0;height:1.5pt" o:hralign="center" o:hrstd="t" o:hr="t" fillcolor="#a0a0a0" stroked="f"/>
        </w:pict>
      </w:r>
    </w:p>
    <w:p w14:paraId="2FE5B685" w14:textId="77777777" w:rsidR="001267B8" w:rsidRPr="001267B8" w:rsidRDefault="001267B8" w:rsidP="00126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[Physician Letterhead / Institution]</w:t>
      </w:r>
    </w:p>
    <w:p w14:paraId="1A97E5EF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Company: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Name: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DOB: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ID: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Case / Reference Number:</w:t>
      </w:r>
    </w:p>
    <w:p w14:paraId="505CBE97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Re: Appeal for Coverage — </w:t>
      </w:r>
      <w:proofErr w:type="spellStart"/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Extravenous</w:t>
      </w:r>
      <w:proofErr w:type="spellEnd"/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Implantable Cardioverter-Defibrillator (EV-ICD)</w:t>
      </w:r>
    </w:p>
    <w:p w14:paraId="11088C9C" w14:textId="77777777" w:rsidR="001267B8" w:rsidRPr="001267B8" w:rsidRDefault="00000000" w:rsidP="001267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0BBF0D">
          <v:rect id="_x0000_i1027" style="width:0;height:1.5pt" o:hralign="center" o:hrstd="t" o:hr="t" fillcolor="#a0a0a0" stroked="f"/>
        </w:pict>
      </w:r>
    </w:p>
    <w:p w14:paraId="100709C7" w14:textId="77777777" w:rsidR="001267B8" w:rsidRPr="001267B8" w:rsidRDefault="001267B8" w:rsidP="00126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Establish Standard ICD Eligibility</w:t>
      </w:r>
    </w:p>
    <w:p w14:paraId="790EC73E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This patient meets guideline-supported criteria for ICD therapy based on:</w:t>
      </w:r>
    </w:p>
    <w:p w14:paraId="46FE9F51" w14:textId="77777777" w:rsidR="001267B8" w:rsidRPr="001267B8" w:rsidRDefault="001267B8" w:rsidP="00126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[Syncope / ventricular arrhythmia documentation]</w:t>
      </w:r>
    </w:p>
    <w:p w14:paraId="3132C1C4" w14:textId="77777777" w:rsidR="001267B8" w:rsidRPr="001267B8" w:rsidRDefault="001267B8" w:rsidP="00126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[NSVT or sustained VT]</w:t>
      </w:r>
    </w:p>
    <w:p w14:paraId="03403FCB" w14:textId="77777777" w:rsidR="001267B8" w:rsidRPr="001267B8" w:rsidRDefault="001267B8" w:rsidP="00126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[Imaging or structural substrate such as MRI fibrosis]</w:t>
      </w:r>
    </w:p>
    <w:p w14:paraId="52DBFC14" w14:textId="77777777" w:rsidR="001267B8" w:rsidRPr="001267B8" w:rsidRDefault="001267B8" w:rsidP="00126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Additional risk factors: ____________________</w:t>
      </w:r>
    </w:p>
    <w:p w14:paraId="5C6260FC" w14:textId="77777777" w:rsidR="001267B8" w:rsidRPr="001267B8" w:rsidRDefault="00000000" w:rsidP="001267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AD127E">
          <v:rect id="_x0000_i1028" style="width:0;height:1.5pt" o:hralign="center" o:hrstd="t" o:hr="t" fillcolor="#a0a0a0" stroked="f"/>
        </w:pict>
      </w:r>
    </w:p>
    <w:p w14:paraId="452F8C99" w14:textId="77777777" w:rsidR="001267B8" w:rsidRPr="001267B8" w:rsidRDefault="001267B8" w:rsidP="00126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Define the Clinical Mismatch</w:t>
      </w:r>
    </w:p>
    <w:p w14:paraId="4C319662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Standard ICD options present disproportionate risk:</w:t>
      </w:r>
    </w:p>
    <w:p w14:paraId="25630E69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Transvenous ICD</w:t>
      </w:r>
    </w:p>
    <w:p w14:paraId="642C9FB2" w14:textId="77777777" w:rsidR="001267B8" w:rsidRPr="001267B8" w:rsidRDefault="001267B8" w:rsidP="00126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Lifetime </w:t>
      </w:r>
      <w:proofErr w:type="gramStart"/>
      <w:r w:rsidRPr="001267B8">
        <w:rPr>
          <w:rFonts w:ascii="Times New Roman" w:eastAsia="Times New Roman" w:hAnsi="Times New Roman" w:cs="Times New Roman"/>
          <w:kern w:val="0"/>
          <w14:ligatures w14:val="none"/>
        </w:rPr>
        <w:t>lead</w:t>
      </w:r>
      <w:proofErr w:type="gramEnd"/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 durability risk</w:t>
      </w:r>
    </w:p>
    <w:p w14:paraId="1EF7496E" w14:textId="77777777" w:rsidR="001267B8" w:rsidRPr="001267B8" w:rsidRDefault="001267B8" w:rsidP="00126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Intravascular complications</w:t>
      </w:r>
    </w:p>
    <w:p w14:paraId="0FC8CBAB" w14:textId="77777777" w:rsidR="001267B8" w:rsidRPr="001267B8" w:rsidRDefault="001267B8" w:rsidP="00126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Extraction risk in younger patients</w:t>
      </w:r>
    </w:p>
    <w:p w14:paraId="253A1645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Subcutaneous ICD</w:t>
      </w:r>
    </w:p>
    <w:p w14:paraId="407522EB" w14:textId="77777777" w:rsidR="001267B8" w:rsidRPr="001267B8" w:rsidRDefault="001267B8" w:rsidP="001267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No ATP capability</w:t>
      </w:r>
    </w:p>
    <w:p w14:paraId="68C960A5" w14:textId="77777777" w:rsidR="001267B8" w:rsidRPr="001267B8" w:rsidRDefault="001267B8" w:rsidP="001267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Increased risk of avoidable shocks</w:t>
      </w:r>
    </w:p>
    <w:p w14:paraId="108D7A87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Patient-specific considerations</w:t>
      </w:r>
    </w:p>
    <w:p w14:paraId="1EA245B1" w14:textId="77777777" w:rsidR="001267B8" w:rsidRPr="001267B8" w:rsidRDefault="001267B8" w:rsidP="00126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 xml:space="preserve">[Low BMI / body </w:t>
      </w:r>
      <w:proofErr w:type="gramStart"/>
      <w:r w:rsidRPr="001267B8">
        <w:rPr>
          <w:rFonts w:ascii="Times New Roman" w:eastAsia="Times New Roman" w:hAnsi="Times New Roman" w:cs="Times New Roman"/>
          <w:kern w:val="0"/>
          <w14:ligatures w14:val="none"/>
        </w:rPr>
        <w:t>habitus</w:t>
      </w:r>
      <w:proofErr w:type="gramEnd"/>
      <w:r w:rsidRPr="001267B8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52585710" w14:textId="77777777" w:rsidR="001267B8" w:rsidRPr="001267B8" w:rsidRDefault="001267B8" w:rsidP="00126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[Long life expectancy]</w:t>
      </w:r>
    </w:p>
    <w:p w14:paraId="2210F0C2" w14:textId="77777777" w:rsidR="001267B8" w:rsidRPr="001267B8" w:rsidRDefault="001267B8" w:rsidP="00126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[Other factors]</w:t>
      </w:r>
    </w:p>
    <w:p w14:paraId="7EF1042F" w14:textId="77777777" w:rsidR="001267B8" w:rsidRPr="001267B8" w:rsidRDefault="00000000" w:rsidP="001267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63A0A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F3A8ABD" w14:textId="77777777" w:rsidR="001267B8" w:rsidRPr="001267B8" w:rsidRDefault="001267B8" w:rsidP="00126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EV-ICD as a Risk-Reduction Strategy</w:t>
      </w:r>
    </w:p>
    <w:p w14:paraId="03E964AF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EV-ICD maintains appropriate ICD therapy while reducing long-term morbidity:</w:t>
      </w:r>
    </w:p>
    <w:p w14:paraId="2BC82FF8" w14:textId="77777777" w:rsidR="001267B8" w:rsidRPr="001267B8" w:rsidRDefault="001267B8" w:rsidP="00126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Avoids intravascular leads</w:t>
      </w:r>
    </w:p>
    <w:p w14:paraId="39E4FEE2" w14:textId="77777777" w:rsidR="001267B8" w:rsidRPr="001267B8" w:rsidRDefault="001267B8" w:rsidP="00126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Preserves ATP</w:t>
      </w:r>
    </w:p>
    <w:p w14:paraId="2112EA03" w14:textId="77777777" w:rsidR="001267B8" w:rsidRPr="001267B8" w:rsidRDefault="001267B8" w:rsidP="00126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FDA-approved with peer-reviewed outcomes</w:t>
      </w:r>
    </w:p>
    <w:p w14:paraId="6DA83A9F" w14:textId="77777777" w:rsidR="001267B8" w:rsidRPr="001267B8" w:rsidRDefault="001267B8" w:rsidP="00126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Appropriate for individualized risk profile</w:t>
      </w:r>
    </w:p>
    <w:p w14:paraId="69DDD52E" w14:textId="77777777" w:rsidR="001267B8" w:rsidRPr="001267B8" w:rsidRDefault="00000000" w:rsidP="001267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1FCB2F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E482371" w14:textId="77777777" w:rsidR="001267B8" w:rsidRPr="001267B8" w:rsidRDefault="001267B8" w:rsidP="00126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Rebut “Experimental / Investigational”</w:t>
      </w:r>
    </w:p>
    <w:p w14:paraId="3084AF2C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This therapy is:</w:t>
      </w:r>
    </w:p>
    <w:p w14:paraId="6D40EDE5" w14:textId="77777777" w:rsidR="001267B8" w:rsidRPr="001267B8" w:rsidRDefault="001267B8" w:rsidP="00126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FDA-approved Class III device</w:t>
      </w:r>
    </w:p>
    <w:p w14:paraId="6EF34BE5" w14:textId="77777777" w:rsidR="001267B8" w:rsidRPr="001267B8" w:rsidRDefault="001267B8" w:rsidP="00126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Supported by pivotal peer-reviewed data</w:t>
      </w:r>
    </w:p>
    <w:p w14:paraId="06B38B01" w14:textId="77777777" w:rsidR="001267B8" w:rsidRPr="001267B8" w:rsidRDefault="001267B8" w:rsidP="00126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Published in major cardiovascular journals</w:t>
      </w:r>
    </w:p>
    <w:p w14:paraId="30E84DC0" w14:textId="77777777" w:rsidR="001267B8" w:rsidRPr="001267B8" w:rsidRDefault="001267B8" w:rsidP="00126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Covered by Medicare</w:t>
      </w:r>
    </w:p>
    <w:p w14:paraId="5AFB94EB" w14:textId="77777777" w:rsidR="001267B8" w:rsidRPr="001267B8" w:rsidRDefault="001267B8" w:rsidP="00126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Within existing ICD reimbursement structure</w:t>
      </w:r>
    </w:p>
    <w:p w14:paraId="008CD0DE" w14:textId="77777777" w:rsidR="001267B8" w:rsidRPr="001267B8" w:rsidRDefault="00000000" w:rsidP="001267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260371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53591CA" w14:textId="77777777" w:rsidR="001267B8" w:rsidRPr="001267B8" w:rsidRDefault="001267B8" w:rsidP="00126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Medical Necessity Statement</w:t>
      </w:r>
    </w:p>
    <w:p w14:paraId="6326D49D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The EV-ICD is medically necessary to provide guideline-supported ICD therapy while minimizing anticipated long-term complications associated with standard systems in this patient.</w:t>
      </w:r>
    </w:p>
    <w:p w14:paraId="63B77565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kern w:val="0"/>
          <w14:ligatures w14:val="none"/>
        </w:rPr>
        <w:t>I respectfully request approval.</w:t>
      </w:r>
    </w:p>
    <w:p w14:paraId="101F8A92" w14:textId="77777777" w:rsidR="001267B8" w:rsidRPr="001267B8" w:rsidRDefault="00000000" w:rsidP="001267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D4778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513C594" w14:textId="77777777" w:rsidR="001267B8" w:rsidRPr="001267B8" w:rsidRDefault="001267B8" w:rsidP="001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7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Physician Signature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br/>
        <w:t>Name / Credentials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br/>
        <w:t>Institution</w:t>
      </w:r>
      <w:r w:rsidRPr="001267B8">
        <w:rPr>
          <w:rFonts w:ascii="Times New Roman" w:eastAsia="Times New Roman" w:hAnsi="Times New Roman" w:cs="Times New Roman"/>
          <w:kern w:val="0"/>
          <w14:ligatures w14:val="none"/>
        </w:rPr>
        <w:br/>
        <w:t>Contact Information</w:t>
      </w:r>
    </w:p>
    <w:p w14:paraId="0B0B7AFA" w14:textId="77777777" w:rsidR="00863C27" w:rsidRPr="001267B8" w:rsidRDefault="00863C27" w:rsidP="001267B8"/>
    <w:sectPr w:rsidR="00863C27" w:rsidRPr="00126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0F85"/>
    <w:multiLevelType w:val="multilevel"/>
    <w:tmpl w:val="205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025C8"/>
    <w:multiLevelType w:val="multilevel"/>
    <w:tmpl w:val="4B92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07C84"/>
    <w:multiLevelType w:val="multilevel"/>
    <w:tmpl w:val="6A8E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5578F"/>
    <w:multiLevelType w:val="multilevel"/>
    <w:tmpl w:val="A30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45255"/>
    <w:multiLevelType w:val="multilevel"/>
    <w:tmpl w:val="8F52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43E98"/>
    <w:multiLevelType w:val="multilevel"/>
    <w:tmpl w:val="1C0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05DE5"/>
    <w:multiLevelType w:val="multilevel"/>
    <w:tmpl w:val="D95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82A32"/>
    <w:multiLevelType w:val="multilevel"/>
    <w:tmpl w:val="D03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958ED"/>
    <w:multiLevelType w:val="multilevel"/>
    <w:tmpl w:val="A94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D1153"/>
    <w:multiLevelType w:val="multilevel"/>
    <w:tmpl w:val="A8D4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F3017"/>
    <w:multiLevelType w:val="multilevel"/>
    <w:tmpl w:val="3072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549E7"/>
    <w:multiLevelType w:val="multilevel"/>
    <w:tmpl w:val="EB2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AF1DAF"/>
    <w:multiLevelType w:val="multilevel"/>
    <w:tmpl w:val="E68C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17EED"/>
    <w:multiLevelType w:val="multilevel"/>
    <w:tmpl w:val="44E4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44478"/>
    <w:multiLevelType w:val="multilevel"/>
    <w:tmpl w:val="C35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990383">
    <w:abstractNumId w:val="12"/>
  </w:num>
  <w:num w:numId="2" w16cid:durableId="60258796">
    <w:abstractNumId w:val="9"/>
  </w:num>
  <w:num w:numId="3" w16cid:durableId="1634406217">
    <w:abstractNumId w:val="1"/>
  </w:num>
  <w:num w:numId="4" w16cid:durableId="1030378631">
    <w:abstractNumId w:val="4"/>
  </w:num>
  <w:num w:numId="5" w16cid:durableId="1004087126">
    <w:abstractNumId w:val="13"/>
  </w:num>
  <w:num w:numId="6" w16cid:durableId="389309526">
    <w:abstractNumId w:val="8"/>
  </w:num>
  <w:num w:numId="7" w16cid:durableId="727190942">
    <w:abstractNumId w:val="14"/>
  </w:num>
  <w:num w:numId="8" w16cid:durableId="240530971">
    <w:abstractNumId w:val="6"/>
  </w:num>
  <w:num w:numId="9" w16cid:durableId="621956675">
    <w:abstractNumId w:val="10"/>
  </w:num>
  <w:num w:numId="10" w16cid:durableId="1939874667">
    <w:abstractNumId w:val="3"/>
  </w:num>
  <w:num w:numId="11" w16cid:durableId="327907654">
    <w:abstractNumId w:val="0"/>
  </w:num>
  <w:num w:numId="12" w16cid:durableId="91753731">
    <w:abstractNumId w:val="5"/>
  </w:num>
  <w:num w:numId="13" w16cid:durableId="2134205123">
    <w:abstractNumId w:val="7"/>
  </w:num>
  <w:num w:numId="14" w16cid:durableId="771318893">
    <w:abstractNumId w:val="2"/>
  </w:num>
  <w:num w:numId="15" w16cid:durableId="1329675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27"/>
    <w:rsid w:val="001267B8"/>
    <w:rsid w:val="00552ABB"/>
    <w:rsid w:val="005D0D3F"/>
    <w:rsid w:val="007B072C"/>
    <w:rsid w:val="00863C27"/>
    <w:rsid w:val="00A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766A"/>
  <w15:chartTrackingRefBased/>
  <w15:docId w15:val="{2C6F7939-75D6-A447-8BCD-932472CD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C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63C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63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Silverstein</dc:creator>
  <cp:keywords/>
  <dc:description/>
  <cp:lastModifiedBy>Tracy Blithe</cp:lastModifiedBy>
  <cp:revision>3</cp:revision>
  <dcterms:created xsi:type="dcterms:W3CDTF">2026-02-18T18:10:00Z</dcterms:created>
  <dcterms:modified xsi:type="dcterms:W3CDTF">2026-02-23T16:11:00Z</dcterms:modified>
</cp:coreProperties>
</file>